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112E" w14:textId="77777777" w:rsidR="00EA530E" w:rsidRPr="00FF3038" w:rsidRDefault="00EA530E" w:rsidP="00EA530E">
      <w:pPr>
        <w:tabs>
          <w:tab w:val="center" w:pos="10632"/>
          <w:tab w:val="right" w:pos="22380"/>
        </w:tabs>
        <w:rPr>
          <w:rFonts w:ascii="OpenDyslexic" w:hAnsi="OpenDyslexic"/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91"/>
        <w:gridCol w:w="2915"/>
        <w:gridCol w:w="1419"/>
        <w:gridCol w:w="1555"/>
        <w:gridCol w:w="1274"/>
        <w:gridCol w:w="4537"/>
        <w:gridCol w:w="4677"/>
        <w:gridCol w:w="14"/>
        <w:gridCol w:w="4614"/>
      </w:tblGrid>
      <w:tr w:rsidR="00FF3038" w14:paraId="7B42216A" w14:textId="77777777" w:rsidTr="00FF3038">
        <w:trPr>
          <w:trHeight w:val="1712"/>
          <w:tblHeader/>
        </w:trPr>
        <w:tc>
          <w:tcPr>
            <w:tcW w:w="352" w:type="pct"/>
            <w:shd w:val="clear" w:color="auto" w:fill="D9D9D9" w:themeFill="background1" w:themeFillShade="D9"/>
            <w:vAlign w:val="bottom"/>
          </w:tcPr>
          <w:p w14:paraId="2838F465" w14:textId="77777777" w:rsidR="006E0B11" w:rsidRDefault="006E0B11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Underlying</w:t>
            </w:r>
          </w:p>
          <w:p w14:paraId="2C0482A3" w14:textId="77777777" w:rsidR="006E0B11" w:rsidRPr="006E0B11" w:rsidRDefault="006E0B11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b/>
              </w:rPr>
              <w:t>Social Change narrative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bottom"/>
          </w:tcPr>
          <w:p w14:paraId="441466AE" w14:textId="77777777" w:rsidR="006E0B11" w:rsidRPr="006E0B11" w:rsidRDefault="006E0B11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b/>
              </w:rPr>
              <w:t>Sources available</w:t>
            </w:r>
          </w:p>
          <w:p w14:paraId="5DB3F547" w14:textId="069526BD" w:rsidR="006E0B11" w:rsidRPr="006E0B11" w:rsidRDefault="00FF3038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r>
              <w:rPr>
                <w:rFonts w:ascii="OpenDyslexic" w:hAnsi="OpenDyslexic"/>
                <w:sz w:val="20"/>
              </w:rPr>
              <w:t xml:space="preserve">(cite them this </w:t>
            </w:r>
            <w:r w:rsidR="006E0B11" w:rsidRPr="006E0B11">
              <w:rPr>
                <w:rFonts w:ascii="OpenDyslexic" w:hAnsi="OpenDyslexic"/>
                <w:sz w:val="20"/>
              </w:rPr>
              <w:t>way)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bottom"/>
          </w:tcPr>
          <w:p w14:paraId="5BD59D5A" w14:textId="77777777" w:rsidR="006E0B11" w:rsidRPr="006E0B11" w:rsidRDefault="006E0B11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b/>
              </w:rPr>
              <w:t>Image/</w:t>
            </w:r>
            <w:r>
              <w:rPr>
                <w:rFonts w:ascii="OpenDyslexic" w:hAnsi="OpenDyslexic"/>
                <w:b/>
              </w:rPr>
              <w:br/>
            </w:r>
            <w:r w:rsidRPr="006E0B11">
              <w:rPr>
                <w:rFonts w:ascii="OpenDyslexic" w:hAnsi="OpenDyslexic"/>
                <w:b/>
              </w:rPr>
              <w:t>Statistic No.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bottom"/>
          </w:tcPr>
          <w:p w14:paraId="2D026980" w14:textId="3FFC4607" w:rsidR="006E0B11" w:rsidRPr="006E0B11" w:rsidRDefault="00EC1223" w:rsidP="00EC1223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Thumbnail of </w:t>
            </w:r>
            <w:r w:rsidR="006E0B11" w:rsidRPr="006E0B11">
              <w:rPr>
                <w:rFonts w:ascii="OpenDyslexic" w:hAnsi="OpenDyslexic"/>
                <w:b/>
              </w:rPr>
              <w:t>Image or Statistic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14:paraId="31D88145" w14:textId="77777777" w:rsidR="00FF3038" w:rsidRDefault="007B6B14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Which source?</w:t>
            </w:r>
          </w:p>
          <w:p w14:paraId="50962B3E" w14:textId="79401244" w:rsidR="006E0B11" w:rsidRPr="006E0B11" w:rsidRDefault="00FF3038" w:rsidP="00EC1223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FF3038">
              <w:rPr>
                <w:rFonts w:ascii="OpenDyslexic" w:hAnsi="OpenDyslexic"/>
                <w:sz w:val="20"/>
              </w:rPr>
              <w:t>(</w:t>
            </w:r>
            <w:r w:rsidR="00EC1223">
              <w:rPr>
                <w:rFonts w:ascii="OpenDyslexic" w:hAnsi="OpenDyslexic"/>
                <w:sz w:val="20"/>
              </w:rPr>
              <w:t xml:space="preserve">just write the </w:t>
            </w:r>
            <w:r>
              <w:rPr>
                <w:rFonts w:ascii="OpenDyslexic" w:hAnsi="OpenDyslexic"/>
                <w:sz w:val="20"/>
              </w:rPr>
              <w:t>author</w:t>
            </w:r>
            <w:r w:rsidRPr="00FF3038">
              <w:rPr>
                <w:rFonts w:ascii="OpenDyslexic" w:hAnsi="OpenDyslexic"/>
                <w:sz w:val="20"/>
              </w:rPr>
              <w:t>)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bottom"/>
          </w:tcPr>
          <w:p w14:paraId="4C1740D3" w14:textId="77777777" w:rsidR="006E0B11" w:rsidRDefault="007B6B14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For caption: </w:t>
            </w:r>
            <w:r w:rsidR="00FF3038">
              <w:rPr>
                <w:rFonts w:ascii="OpenDyslexic" w:hAnsi="OpenDyslexic"/>
                <w:b/>
              </w:rPr>
              <w:t>W</w:t>
            </w:r>
            <w:r w:rsidR="006E0B11" w:rsidRPr="006E0B11">
              <w:rPr>
                <w:rFonts w:ascii="OpenDyslexic" w:hAnsi="OpenDyslexic"/>
                <w:b/>
              </w:rPr>
              <w:t>hy you chose this image/statistic</w:t>
            </w:r>
          </w:p>
          <w:p w14:paraId="2C05B7E6" w14:textId="71C64E0B" w:rsidR="00EC1223" w:rsidRPr="00EC1223" w:rsidRDefault="00EC1223" w:rsidP="00EC1223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r w:rsidRPr="00EC1223">
              <w:rPr>
                <w:rFonts w:ascii="OpenDyslexic" w:hAnsi="OpenDyslexic"/>
                <w:sz w:val="20"/>
              </w:rPr>
              <w:t>(</w:t>
            </w:r>
            <w:r w:rsidR="006E02B4">
              <w:rPr>
                <w:rFonts w:ascii="OpenDyslexic" w:hAnsi="OpenDyslexic"/>
                <w:sz w:val="20"/>
              </w:rPr>
              <w:t xml:space="preserve">max. </w:t>
            </w:r>
            <w:r w:rsidRPr="00EC1223">
              <w:rPr>
                <w:rFonts w:ascii="OpenDyslexic" w:hAnsi="OpenDyslexic"/>
                <w:sz w:val="20"/>
              </w:rPr>
              <w:t>50 words)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bottom"/>
          </w:tcPr>
          <w:p w14:paraId="726CCC3E" w14:textId="604C8CCD" w:rsidR="007B6B14" w:rsidRDefault="007B6B14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For caption: </w:t>
            </w:r>
            <w:r w:rsidR="00FF3038">
              <w:rPr>
                <w:rFonts w:ascii="OpenDyslexic" w:hAnsi="OpenDyslexic"/>
                <w:b/>
              </w:rPr>
              <w:t>H</w:t>
            </w:r>
            <w:r w:rsidR="006E0B11" w:rsidRPr="006E0B11">
              <w:rPr>
                <w:rFonts w:ascii="OpenDyslexic" w:hAnsi="OpenDyslexic"/>
                <w:b/>
              </w:rPr>
              <w:t>ow this image portrays Power Structures operating in our society</w:t>
            </w:r>
          </w:p>
          <w:p w14:paraId="016BFD82" w14:textId="77777777" w:rsidR="006E0B11" w:rsidRDefault="00FF3038" w:rsidP="007B6B14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sz w:val="20"/>
              </w:rPr>
            </w:pPr>
            <w:r>
              <w:rPr>
                <w:rFonts w:ascii="OpenDyslexic" w:hAnsi="OpenDyslexic"/>
                <w:sz w:val="20"/>
              </w:rPr>
              <w:t>(cite one or both power models*</w:t>
            </w:r>
            <w:r w:rsidR="007B6B14" w:rsidRPr="007B6B14">
              <w:rPr>
                <w:rFonts w:ascii="OpenDyslexic" w:hAnsi="OpenDyslexic"/>
                <w:sz w:val="20"/>
              </w:rPr>
              <w:t>)</w:t>
            </w:r>
          </w:p>
          <w:p w14:paraId="52E4509F" w14:textId="5FACE108" w:rsidR="00EC1223" w:rsidRPr="007B6B14" w:rsidRDefault="00EC1223" w:rsidP="007B6B14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r>
              <w:rPr>
                <w:rFonts w:ascii="OpenDyslexic" w:hAnsi="OpenDyslexic"/>
                <w:sz w:val="20"/>
              </w:rPr>
              <w:t>(</w:t>
            </w:r>
            <w:r w:rsidR="006E02B4">
              <w:rPr>
                <w:rFonts w:ascii="OpenDyslexic" w:hAnsi="OpenDyslexic"/>
                <w:sz w:val="20"/>
              </w:rPr>
              <w:t xml:space="preserve">max. </w:t>
            </w:r>
            <w:r>
              <w:rPr>
                <w:rFonts w:ascii="OpenDyslexic" w:hAnsi="OpenDyslexic"/>
                <w:sz w:val="20"/>
              </w:rPr>
              <w:t>50 words)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bottom"/>
          </w:tcPr>
          <w:p w14:paraId="1BF5C565" w14:textId="203C4952" w:rsidR="006E0B11" w:rsidRDefault="00FF3038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Notes to self: How</w:t>
            </w:r>
            <w:r w:rsidR="006E0B11" w:rsidRPr="006E0B11">
              <w:rPr>
                <w:rFonts w:ascii="OpenDyslexic" w:hAnsi="OpenDyslexic"/>
                <w:b/>
              </w:rPr>
              <w:t xml:space="preserve"> to display </w:t>
            </w:r>
            <w:r>
              <w:rPr>
                <w:rFonts w:ascii="OpenDyslexic" w:hAnsi="OpenDyslexic"/>
                <w:b/>
              </w:rPr>
              <w:t xml:space="preserve">it </w:t>
            </w:r>
            <w:r w:rsidR="006E0B11" w:rsidRPr="006E0B11">
              <w:rPr>
                <w:rFonts w:ascii="OpenDyslexic" w:hAnsi="OpenDyslexic"/>
                <w:b/>
              </w:rPr>
              <w:t>in your final piece</w:t>
            </w:r>
          </w:p>
          <w:p w14:paraId="3EA2812B" w14:textId="77777777" w:rsidR="006E0B11" w:rsidRPr="006E0B11" w:rsidRDefault="006E0B11" w:rsidP="006E0B11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sz w:val="20"/>
              </w:rPr>
              <w:t>(especially if it’s a statistic or if you are annotating an image)</w:t>
            </w:r>
          </w:p>
        </w:tc>
      </w:tr>
      <w:tr w:rsidR="00FF3038" w14:paraId="2BD9072C" w14:textId="77777777" w:rsidTr="009E61EF">
        <w:trPr>
          <w:trHeight w:val="1134"/>
        </w:trPr>
        <w:tc>
          <w:tcPr>
            <w:tcW w:w="352" w:type="pct"/>
            <w:vMerge w:val="restart"/>
            <w:shd w:val="clear" w:color="auto" w:fill="D99594" w:themeFill="accent2" w:themeFillTint="99"/>
          </w:tcPr>
          <w:p w14:paraId="43FAF980" w14:textId="0E427CF8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b/>
              </w:rPr>
              <w:t>Optimism in the Past</w:t>
            </w:r>
            <w:r w:rsidR="00B357C3">
              <w:rPr>
                <w:rFonts w:ascii="OpenDyslexic" w:hAnsi="OpenDyslexic"/>
                <w:b/>
              </w:rPr>
              <w:t>:</w:t>
            </w:r>
          </w:p>
          <w:p w14:paraId="3308D4B2" w14:textId="43189404" w:rsidR="00B357C3" w:rsidRPr="00B357C3" w:rsidRDefault="00B357C3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r w:rsidRPr="00B357C3">
              <w:rPr>
                <w:rFonts w:ascii="OpenDyslexic" w:hAnsi="OpenDyslexic"/>
                <w:sz w:val="20"/>
              </w:rPr>
              <w:t>Founding of Elizabeth – The Playford Plan</w:t>
            </w:r>
          </w:p>
        </w:tc>
        <w:tc>
          <w:tcPr>
            <w:tcW w:w="645" w:type="pct"/>
            <w:vMerge w:val="restart"/>
            <w:shd w:val="clear" w:color="auto" w:fill="E5B8B7" w:themeFill="accent2" w:themeFillTint="66"/>
          </w:tcPr>
          <w:p w14:paraId="74D48DCC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  <w:r w:rsidRPr="002006C7">
              <w:rPr>
                <w:rFonts w:ascii="OpenDyslexic" w:hAnsi="OpenDyslexic"/>
                <w:sz w:val="20"/>
              </w:rPr>
              <w:t xml:space="preserve">SA Housing Trust 1960, </w:t>
            </w:r>
            <w:r w:rsidRPr="002006C7">
              <w:rPr>
                <w:rFonts w:ascii="OpenDyslexic" w:hAnsi="OpenDyslexic"/>
                <w:i/>
                <w:sz w:val="20"/>
                <w:u w:val="single"/>
              </w:rPr>
              <w:t>Elizabeth: A Place to Grow,</w:t>
            </w:r>
            <w:r w:rsidRPr="002006C7">
              <w:rPr>
                <w:rFonts w:ascii="OpenDyslexic" w:hAnsi="OpenDyslexic"/>
                <w:i/>
                <w:sz w:val="20"/>
              </w:rPr>
              <w:t xml:space="preserve"> </w:t>
            </w:r>
            <w:r w:rsidRPr="002006C7">
              <w:rPr>
                <w:rFonts w:ascii="OpenDyslexic" w:hAnsi="OpenDyslexic"/>
                <w:sz w:val="20"/>
              </w:rPr>
              <w:t>South Australian Government, Adelaide.</w:t>
            </w:r>
          </w:p>
          <w:p w14:paraId="1950C2D9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i/>
                <w:sz w:val="20"/>
              </w:rPr>
            </w:pPr>
            <w:r w:rsidRPr="002006C7">
              <w:rPr>
                <w:rFonts w:ascii="OpenDyslexic" w:hAnsi="OpenDyslexic"/>
                <w:sz w:val="20"/>
              </w:rPr>
              <w:t xml:space="preserve">Peel, M. </w:t>
            </w:r>
            <w:r>
              <w:rPr>
                <w:rFonts w:ascii="OpenDyslexic" w:hAnsi="OpenDyslexic"/>
                <w:sz w:val="20"/>
              </w:rPr>
              <w:t xml:space="preserve">1995 </w:t>
            </w:r>
            <w:r w:rsidRPr="002006C7">
              <w:rPr>
                <w:rFonts w:ascii="OpenDyslexic" w:hAnsi="OpenDyslexic"/>
                <w:i/>
                <w:sz w:val="20"/>
                <w:u w:val="single"/>
              </w:rPr>
              <w:t>Good Times, Hard Times: The past and the future in Elizabeth,</w:t>
            </w:r>
            <w:r w:rsidRPr="002006C7">
              <w:rPr>
                <w:rFonts w:ascii="OpenDyslexic" w:hAnsi="OpenDyslexic"/>
                <w:i/>
                <w:sz w:val="20"/>
              </w:rPr>
              <w:t xml:space="preserve"> </w:t>
            </w:r>
            <w:r w:rsidRPr="002006C7">
              <w:rPr>
                <w:rFonts w:ascii="OpenDyslexic" w:hAnsi="OpenDyslexic"/>
                <w:sz w:val="20"/>
              </w:rPr>
              <w:t>Melbourne UP, Melbourne, plates 5-6.</w:t>
            </w: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4A4FBC7F" w14:textId="77777777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</w:t>
            </w:r>
          </w:p>
        </w:tc>
        <w:tc>
          <w:tcPr>
            <w:tcW w:w="344" w:type="pct"/>
            <w:shd w:val="clear" w:color="auto" w:fill="F2DBDB" w:themeFill="accent2" w:themeFillTint="33"/>
          </w:tcPr>
          <w:p w14:paraId="6FFF40C8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2DBDB" w:themeFill="accent2" w:themeFillTint="33"/>
          </w:tcPr>
          <w:p w14:paraId="2E652108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2DBDB" w:themeFill="accent2" w:themeFillTint="33"/>
          </w:tcPr>
          <w:p w14:paraId="78B10ACB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2DBDB" w:themeFill="accent2" w:themeFillTint="33"/>
          </w:tcPr>
          <w:p w14:paraId="3AF7F440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2DBDB" w:themeFill="accent2" w:themeFillTint="33"/>
          </w:tcPr>
          <w:p w14:paraId="5562014F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08E34CDB" w14:textId="77777777" w:rsidTr="009E61EF">
        <w:trPr>
          <w:trHeight w:val="1134"/>
        </w:trPr>
        <w:tc>
          <w:tcPr>
            <w:tcW w:w="352" w:type="pct"/>
            <w:vMerge/>
            <w:shd w:val="clear" w:color="auto" w:fill="D99594" w:themeFill="accent2" w:themeFillTint="99"/>
          </w:tcPr>
          <w:p w14:paraId="3FF4E3CC" w14:textId="77777777" w:rsidR="006E0B11" w:rsidRP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</w:p>
        </w:tc>
        <w:tc>
          <w:tcPr>
            <w:tcW w:w="645" w:type="pct"/>
            <w:vMerge/>
            <w:shd w:val="clear" w:color="auto" w:fill="E5B8B7" w:themeFill="accent2" w:themeFillTint="66"/>
          </w:tcPr>
          <w:p w14:paraId="30D3E785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4C65AE0F" w14:textId="77777777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</w:t>
            </w:r>
          </w:p>
        </w:tc>
        <w:tc>
          <w:tcPr>
            <w:tcW w:w="344" w:type="pct"/>
            <w:shd w:val="clear" w:color="auto" w:fill="F2DBDB" w:themeFill="accent2" w:themeFillTint="33"/>
          </w:tcPr>
          <w:p w14:paraId="73D35FFF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2DBDB" w:themeFill="accent2" w:themeFillTint="33"/>
          </w:tcPr>
          <w:p w14:paraId="0F169EB8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2DBDB" w:themeFill="accent2" w:themeFillTint="33"/>
          </w:tcPr>
          <w:p w14:paraId="71D3ADAA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2DBDB" w:themeFill="accent2" w:themeFillTint="33"/>
          </w:tcPr>
          <w:p w14:paraId="60BA5522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2DBDB" w:themeFill="accent2" w:themeFillTint="33"/>
          </w:tcPr>
          <w:p w14:paraId="6760D549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6187291B" w14:textId="77777777" w:rsidTr="009E61EF">
        <w:trPr>
          <w:trHeight w:val="1134"/>
        </w:trPr>
        <w:tc>
          <w:tcPr>
            <w:tcW w:w="352" w:type="pct"/>
            <w:vMerge/>
            <w:shd w:val="clear" w:color="auto" w:fill="D99594" w:themeFill="accent2" w:themeFillTint="99"/>
          </w:tcPr>
          <w:p w14:paraId="1308204A" w14:textId="77777777" w:rsidR="006E0B11" w:rsidRP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</w:p>
        </w:tc>
        <w:tc>
          <w:tcPr>
            <w:tcW w:w="645" w:type="pct"/>
            <w:vMerge/>
            <w:shd w:val="clear" w:color="auto" w:fill="E5B8B7" w:themeFill="accent2" w:themeFillTint="66"/>
          </w:tcPr>
          <w:p w14:paraId="39CB693C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</w:p>
        </w:tc>
        <w:tc>
          <w:tcPr>
            <w:tcW w:w="314" w:type="pct"/>
            <w:shd w:val="clear" w:color="auto" w:fill="F2DBDB" w:themeFill="accent2" w:themeFillTint="33"/>
            <w:vAlign w:val="center"/>
          </w:tcPr>
          <w:p w14:paraId="4B90FF09" w14:textId="77777777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3 </w:t>
            </w:r>
            <w:r w:rsidRPr="00FF3038">
              <w:rPr>
                <w:rFonts w:ascii="OpenDyslexic" w:hAnsi="OpenDyslexic"/>
                <w:sz w:val="20"/>
              </w:rPr>
              <w:t>(optional)</w:t>
            </w:r>
          </w:p>
        </w:tc>
        <w:tc>
          <w:tcPr>
            <w:tcW w:w="344" w:type="pct"/>
            <w:shd w:val="clear" w:color="auto" w:fill="F2DBDB" w:themeFill="accent2" w:themeFillTint="33"/>
          </w:tcPr>
          <w:p w14:paraId="1494C6C0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2DBDB" w:themeFill="accent2" w:themeFillTint="33"/>
          </w:tcPr>
          <w:p w14:paraId="2A997C5B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2DBDB" w:themeFill="accent2" w:themeFillTint="33"/>
          </w:tcPr>
          <w:p w14:paraId="5D448945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2DBDB" w:themeFill="accent2" w:themeFillTint="33"/>
          </w:tcPr>
          <w:p w14:paraId="29531095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2DBDB" w:themeFill="accent2" w:themeFillTint="33"/>
          </w:tcPr>
          <w:p w14:paraId="72AFE8E9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7D2F4579" w14:textId="77777777" w:rsidTr="009E61EF">
        <w:trPr>
          <w:trHeight w:val="1832"/>
        </w:trPr>
        <w:tc>
          <w:tcPr>
            <w:tcW w:w="352" w:type="pct"/>
            <w:vMerge w:val="restart"/>
            <w:shd w:val="clear" w:color="auto" w:fill="FABF8F" w:themeFill="accent6" w:themeFillTint="99"/>
          </w:tcPr>
          <w:p w14:paraId="20F334F9" w14:textId="2D43EDEE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b/>
              </w:rPr>
              <w:t>Fast Forward to the Present</w:t>
            </w:r>
            <w:r w:rsidR="00B357C3">
              <w:rPr>
                <w:rFonts w:ascii="OpenDyslexic" w:hAnsi="OpenDyslexic"/>
                <w:b/>
              </w:rPr>
              <w:t>:</w:t>
            </w:r>
          </w:p>
          <w:p w14:paraId="1940D165" w14:textId="56B91F56" w:rsidR="00B357C3" w:rsidRPr="00B357C3" w:rsidRDefault="00B357C3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r w:rsidRPr="00B357C3">
              <w:rPr>
                <w:rFonts w:ascii="OpenDyslexic" w:hAnsi="OpenDyslexic"/>
                <w:sz w:val="22"/>
              </w:rPr>
              <w:t>What’s the current situation?</w:t>
            </w:r>
          </w:p>
        </w:tc>
        <w:tc>
          <w:tcPr>
            <w:tcW w:w="645" w:type="pct"/>
            <w:vMerge w:val="restart"/>
            <w:shd w:val="clear" w:color="auto" w:fill="FBD4B4" w:themeFill="accent6" w:themeFillTint="66"/>
          </w:tcPr>
          <w:p w14:paraId="66ADC856" w14:textId="77777777" w:rsidR="006E0B11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  <w:r>
              <w:rPr>
                <w:rFonts w:ascii="OpenDyslexic" w:hAnsi="OpenDyslexic"/>
                <w:sz w:val="20"/>
              </w:rPr>
              <w:t xml:space="preserve">Dunstan Foundation 2014, </w:t>
            </w:r>
            <w:r>
              <w:rPr>
                <w:rFonts w:ascii="OpenDyslexic" w:hAnsi="OpenDyslexic"/>
                <w:i/>
                <w:sz w:val="20"/>
                <w:u w:val="single"/>
              </w:rPr>
              <w:t xml:space="preserve">The Reality of Poverty in Northern Adelaide, </w:t>
            </w:r>
            <w:r>
              <w:rPr>
                <w:rFonts w:ascii="OpenDyslexic" w:hAnsi="OpenDyslexic"/>
                <w:sz w:val="20"/>
              </w:rPr>
              <w:t>Dunstan Foundation, Adelaide.</w:t>
            </w:r>
          </w:p>
          <w:p w14:paraId="33EB715F" w14:textId="77777777" w:rsidR="006E0B11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  <w:r>
              <w:rPr>
                <w:rFonts w:ascii="OpenDyslexic" w:hAnsi="OpenDyslexic"/>
                <w:sz w:val="20"/>
              </w:rPr>
              <w:t xml:space="preserve">Parker, J. 2014, </w:t>
            </w:r>
            <w:r w:rsidRPr="002006C7">
              <w:rPr>
                <w:rFonts w:ascii="OpenDyslexic" w:hAnsi="OpenDyslexic"/>
                <w:i/>
                <w:sz w:val="20"/>
                <w:u w:val="single"/>
              </w:rPr>
              <w:t>Stage 2 Society and Culture Investigation</w:t>
            </w:r>
            <w:r>
              <w:rPr>
                <w:rFonts w:ascii="OpenDyslexic" w:hAnsi="OpenDyslexic"/>
                <w:i/>
                <w:sz w:val="20"/>
              </w:rPr>
              <w:t xml:space="preserve">, </w:t>
            </w:r>
            <w:r>
              <w:rPr>
                <w:rFonts w:ascii="OpenDyslexic" w:hAnsi="OpenDyslexic"/>
                <w:sz w:val="20"/>
              </w:rPr>
              <w:t>Mark Oliphant College, Adelaide.</w:t>
            </w:r>
          </w:p>
          <w:p w14:paraId="6A691317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  <w:r>
              <w:rPr>
                <w:rFonts w:ascii="OpenDyslexic" w:hAnsi="OpenDyslexic"/>
                <w:sz w:val="20"/>
              </w:rPr>
              <w:t xml:space="preserve">Stretton Centre 2013, ‘Fast Facts’, </w:t>
            </w:r>
            <w:r>
              <w:rPr>
                <w:rFonts w:ascii="OpenDyslexic" w:hAnsi="OpenDyslexic"/>
                <w:i/>
                <w:sz w:val="20"/>
                <w:u w:val="single"/>
              </w:rPr>
              <w:t xml:space="preserve">City of Playford Socio-Demographic, Employment and Education Profile, </w:t>
            </w:r>
            <w:r>
              <w:rPr>
                <w:rFonts w:ascii="OpenDyslexic" w:hAnsi="OpenDyslexic"/>
                <w:sz w:val="20"/>
              </w:rPr>
              <w:t>Australian Workplace Innovation and Social Research Centre, Adelaide.</w:t>
            </w: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5C0E416E" w14:textId="77777777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4</w:t>
            </w:r>
          </w:p>
        </w:tc>
        <w:tc>
          <w:tcPr>
            <w:tcW w:w="344" w:type="pct"/>
            <w:shd w:val="clear" w:color="auto" w:fill="FDE9D9" w:themeFill="accent6" w:themeFillTint="33"/>
          </w:tcPr>
          <w:p w14:paraId="29F0FE44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DE9D9" w:themeFill="accent6" w:themeFillTint="33"/>
          </w:tcPr>
          <w:p w14:paraId="1D57405C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DE9D9" w:themeFill="accent6" w:themeFillTint="33"/>
          </w:tcPr>
          <w:p w14:paraId="374CD21A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DE9D9" w:themeFill="accent6" w:themeFillTint="33"/>
          </w:tcPr>
          <w:p w14:paraId="192510A1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DE9D9" w:themeFill="accent6" w:themeFillTint="33"/>
          </w:tcPr>
          <w:p w14:paraId="3DFBBA85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2CED4A9A" w14:textId="77777777" w:rsidTr="009E61EF">
        <w:trPr>
          <w:trHeight w:val="1833"/>
        </w:trPr>
        <w:tc>
          <w:tcPr>
            <w:tcW w:w="352" w:type="pct"/>
            <w:vMerge/>
            <w:shd w:val="clear" w:color="auto" w:fill="FABF8F" w:themeFill="accent6" w:themeFillTint="99"/>
          </w:tcPr>
          <w:p w14:paraId="198925E6" w14:textId="77777777" w:rsidR="006E0B11" w:rsidRP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</w:p>
        </w:tc>
        <w:tc>
          <w:tcPr>
            <w:tcW w:w="645" w:type="pct"/>
            <w:vMerge/>
            <w:shd w:val="clear" w:color="auto" w:fill="FBD4B4" w:themeFill="accent6" w:themeFillTint="66"/>
          </w:tcPr>
          <w:p w14:paraId="3D7FB49B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67408628" w14:textId="77777777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5</w:t>
            </w:r>
          </w:p>
        </w:tc>
        <w:tc>
          <w:tcPr>
            <w:tcW w:w="344" w:type="pct"/>
            <w:shd w:val="clear" w:color="auto" w:fill="FDE9D9" w:themeFill="accent6" w:themeFillTint="33"/>
          </w:tcPr>
          <w:p w14:paraId="3167A34B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DE9D9" w:themeFill="accent6" w:themeFillTint="33"/>
          </w:tcPr>
          <w:p w14:paraId="6FF04A43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DE9D9" w:themeFill="accent6" w:themeFillTint="33"/>
          </w:tcPr>
          <w:p w14:paraId="705DDA42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DE9D9" w:themeFill="accent6" w:themeFillTint="33"/>
          </w:tcPr>
          <w:p w14:paraId="5B8B01CC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DE9D9" w:themeFill="accent6" w:themeFillTint="33"/>
          </w:tcPr>
          <w:p w14:paraId="7ED0D7A1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175D6A95" w14:textId="77777777" w:rsidTr="009E61EF">
        <w:trPr>
          <w:trHeight w:val="1832"/>
        </w:trPr>
        <w:tc>
          <w:tcPr>
            <w:tcW w:w="352" w:type="pct"/>
            <w:vMerge/>
            <w:shd w:val="clear" w:color="auto" w:fill="FABF8F" w:themeFill="accent6" w:themeFillTint="99"/>
          </w:tcPr>
          <w:p w14:paraId="2653CD63" w14:textId="77777777" w:rsidR="006E0B11" w:rsidRP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</w:p>
        </w:tc>
        <w:tc>
          <w:tcPr>
            <w:tcW w:w="645" w:type="pct"/>
            <w:vMerge/>
            <w:shd w:val="clear" w:color="auto" w:fill="FBD4B4" w:themeFill="accent6" w:themeFillTint="66"/>
          </w:tcPr>
          <w:p w14:paraId="77FB27D4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7933DA30" w14:textId="77777777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6</w:t>
            </w:r>
          </w:p>
        </w:tc>
        <w:tc>
          <w:tcPr>
            <w:tcW w:w="344" w:type="pct"/>
            <w:shd w:val="clear" w:color="auto" w:fill="FDE9D9" w:themeFill="accent6" w:themeFillTint="33"/>
          </w:tcPr>
          <w:p w14:paraId="55464C1D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DE9D9" w:themeFill="accent6" w:themeFillTint="33"/>
          </w:tcPr>
          <w:p w14:paraId="04E2C4F0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DE9D9" w:themeFill="accent6" w:themeFillTint="33"/>
          </w:tcPr>
          <w:p w14:paraId="0AA9DAD8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DE9D9" w:themeFill="accent6" w:themeFillTint="33"/>
          </w:tcPr>
          <w:p w14:paraId="313D5807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DE9D9" w:themeFill="accent6" w:themeFillTint="33"/>
          </w:tcPr>
          <w:p w14:paraId="1966C9EE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9E61EF" w14:paraId="326E5CA9" w14:textId="77777777" w:rsidTr="009E61EF">
        <w:trPr>
          <w:trHeight w:val="1833"/>
        </w:trPr>
        <w:tc>
          <w:tcPr>
            <w:tcW w:w="352" w:type="pct"/>
            <w:vMerge/>
            <w:shd w:val="clear" w:color="auto" w:fill="FABF8F" w:themeFill="accent6" w:themeFillTint="99"/>
          </w:tcPr>
          <w:p w14:paraId="75CE95AA" w14:textId="77777777" w:rsidR="009E61EF" w:rsidRPr="006E0B11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</w:p>
        </w:tc>
        <w:tc>
          <w:tcPr>
            <w:tcW w:w="645" w:type="pct"/>
            <w:vMerge/>
            <w:shd w:val="clear" w:color="auto" w:fill="FBD4B4" w:themeFill="accent6" w:themeFillTint="66"/>
          </w:tcPr>
          <w:p w14:paraId="11509C2A" w14:textId="77777777" w:rsidR="009E61EF" w:rsidRPr="002006C7" w:rsidRDefault="009E61EF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</w:p>
        </w:tc>
        <w:tc>
          <w:tcPr>
            <w:tcW w:w="314" w:type="pct"/>
            <w:shd w:val="clear" w:color="auto" w:fill="FDE9D9" w:themeFill="accent6" w:themeFillTint="33"/>
            <w:vAlign w:val="center"/>
          </w:tcPr>
          <w:p w14:paraId="5C839F0B" w14:textId="35593AB4" w:rsidR="009E61EF" w:rsidRDefault="009E61EF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7</w:t>
            </w:r>
            <w:r>
              <w:rPr>
                <w:rFonts w:ascii="OpenDyslexic" w:hAnsi="OpenDyslexic"/>
              </w:rPr>
              <w:br/>
            </w:r>
            <w:r w:rsidRPr="009E61EF">
              <w:rPr>
                <w:rFonts w:ascii="OpenDyslexic" w:hAnsi="OpenDyslexic"/>
                <w:sz w:val="20"/>
              </w:rPr>
              <w:t>(optional)</w:t>
            </w:r>
          </w:p>
        </w:tc>
        <w:tc>
          <w:tcPr>
            <w:tcW w:w="344" w:type="pct"/>
            <w:shd w:val="clear" w:color="auto" w:fill="FDE9D9" w:themeFill="accent6" w:themeFillTint="33"/>
          </w:tcPr>
          <w:p w14:paraId="40795425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FDE9D9" w:themeFill="accent6" w:themeFillTint="33"/>
          </w:tcPr>
          <w:p w14:paraId="099DDF8B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FDE9D9" w:themeFill="accent6" w:themeFillTint="33"/>
          </w:tcPr>
          <w:p w14:paraId="089591A5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8" w:type="pct"/>
            <w:gridSpan w:val="2"/>
            <w:shd w:val="clear" w:color="auto" w:fill="FDE9D9" w:themeFill="accent6" w:themeFillTint="33"/>
          </w:tcPr>
          <w:p w14:paraId="6D01189E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1" w:type="pct"/>
            <w:shd w:val="clear" w:color="auto" w:fill="FDE9D9" w:themeFill="accent6" w:themeFillTint="33"/>
          </w:tcPr>
          <w:p w14:paraId="5E1A4FA5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39C7B9A3" w14:textId="77777777" w:rsidTr="009E61EF">
        <w:trPr>
          <w:trHeight w:val="1134"/>
        </w:trPr>
        <w:tc>
          <w:tcPr>
            <w:tcW w:w="352" w:type="pct"/>
            <w:vMerge w:val="restart"/>
            <w:shd w:val="clear" w:color="auto" w:fill="C2D69B" w:themeFill="accent3" w:themeFillTint="99"/>
          </w:tcPr>
          <w:p w14:paraId="16F419C9" w14:textId="2D8DEAF2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  <w:b/>
              </w:rPr>
            </w:pPr>
            <w:r w:rsidRPr="006E0B11">
              <w:rPr>
                <w:rFonts w:ascii="OpenDyslexic" w:hAnsi="OpenDyslexic"/>
                <w:b/>
              </w:rPr>
              <w:lastRenderedPageBreak/>
              <w:t>Looking to the Future</w:t>
            </w:r>
            <w:r w:rsidR="00B357C3">
              <w:rPr>
                <w:rFonts w:ascii="OpenDyslexic" w:hAnsi="OpenDyslexic"/>
                <w:b/>
              </w:rPr>
              <w:t>:</w:t>
            </w:r>
          </w:p>
          <w:p w14:paraId="7539CFDE" w14:textId="6C61DEB3" w:rsidR="00B357C3" w:rsidRPr="00B357C3" w:rsidRDefault="00BD45E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r>
              <w:rPr>
                <w:rFonts w:ascii="OpenDyslexic" w:hAnsi="OpenDyslexic"/>
                <w:sz w:val="20"/>
              </w:rPr>
              <w:t>Will</w:t>
            </w:r>
            <w:r w:rsidR="00B357C3" w:rsidRPr="00B357C3">
              <w:rPr>
                <w:rFonts w:ascii="OpenDyslexic" w:hAnsi="OpenDyslexic"/>
                <w:sz w:val="20"/>
              </w:rPr>
              <w:t xml:space="preserve"> Playford Alive avoid the mistakes of the past?</w:t>
            </w:r>
          </w:p>
        </w:tc>
        <w:tc>
          <w:tcPr>
            <w:tcW w:w="645" w:type="pct"/>
            <w:vMerge w:val="restart"/>
            <w:shd w:val="clear" w:color="auto" w:fill="D6E3BC" w:themeFill="accent3" w:themeFillTint="66"/>
          </w:tcPr>
          <w:p w14:paraId="45E87F32" w14:textId="77777777" w:rsidR="006E0B11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  <w:r>
              <w:rPr>
                <w:rFonts w:ascii="OpenDyslexic" w:hAnsi="OpenDyslexic"/>
                <w:sz w:val="20"/>
              </w:rPr>
              <w:t xml:space="preserve">Renewal SA 2015, </w:t>
            </w:r>
            <w:r w:rsidRPr="002006C7">
              <w:rPr>
                <w:rFonts w:ascii="OpenDyslexic" w:hAnsi="OpenDyslexic"/>
                <w:i/>
                <w:sz w:val="20"/>
                <w:u w:val="single"/>
              </w:rPr>
              <w:t>Playford Alive</w:t>
            </w:r>
            <w:r>
              <w:rPr>
                <w:rFonts w:ascii="OpenDyslexic" w:hAnsi="OpenDyslexic"/>
                <w:i/>
                <w:sz w:val="20"/>
              </w:rPr>
              <w:t xml:space="preserve">, </w:t>
            </w:r>
            <w:hyperlink r:id="rId7" w:history="1">
              <w:r w:rsidRPr="002006C7">
                <w:rPr>
                  <w:rStyle w:val="Hyperlink"/>
                  <w:rFonts w:ascii="OpenDyslexic" w:hAnsi="OpenDyslexic"/>
                  <w:sz w:val="20"/>
                </w:rPr>
                <w:t>http://www.playfordalive.com.au/</w:t>
              </w:r>
            </w:hyperlink>
            <w:r w:rsidRPr="002006C7">
              <w:rPr>
                <w:rFonts w:ascii="OpenDyslexic" w:hAnsi="OpenDyslexic"/>
                <w:sz w:val="20"/>
              </w:rPr>
              <w:t>, accessed</w:t>
            </w:r>
            <w:r>
              <w:rPr>
                <w:rFonts w:ascii="OpenDyslexic" w:hAnsi="OpenDyslexic"/>
                <w:i/>
                <w:sz w:val="20"/>
              </w:rPr>
              <w:t xml:space="preserve"> </w:t>
            </w:r>
            <w:r>
              <w:rPr>
                <w:rFonts w:ascii="OpenDyslexic" w:hAnsi="OpenDyslexic"/>
                <w:sz w:val="20"/>
              </w:rPr>
              <w:t>February 2015.</w:t>
            </w:r>
          </w:p>
          <w:p w14:paraId="03646B46" w14:textId="77777777" w:rsidR="006E0B11" w:rsidRPr="002006C7" w:rsidRDefault="006E0B11" w:rsidP="002006C7">
            <w:pPr>
              <w:tabs>
                <w:tab w:val="center" w:pos="10632"/>
                <w:tab w:val="right" w:pos="22380"/>
              </w:tabs>
              <w:spacing w:after="120"/>
              <w:rPr>
                <w:rFonts w:ascii="OpenDyslexic" w:hAnsi="OpenDyslexic"/>
                <w:sz w:val="20"/>
              </w:rPr>
            </w:pPr>
            <w:r>
              <w:rPr>
                <w:rFonts w:ascii="OpenDyslexic" w:hAnsi="OpenDyslexic"/>
                <w:sz w:val="20"/>
              </w:rPr>
              <w:t>Your photos (cite your name and the date and location that the photo was taken)</w:t>
            </w: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3E740232" w14:textId="1564C34B" w:rsidR="006E0B11" w:rsidRDefault="009E61EF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8</w:t>
            </w:r>
          </w:p>
        </w:tc>
        <w:tc>
          <w:tcPr>
            <w:tcW w:w="344" w:type="pct"/>
            <w:shd w:val="clear" w:color="auto" w:fill="EAF1DD" w:themeFill="accent3" w:themeFillTint="33"/>
          </w:tcPr>
          <w:p w14:paraId="038500A0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EAF1DD" w:themeFill="accent3" w:themeFillTint="33"/>
          </w:tcPr>
          <w:p w14:paraId="2075A00A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EAF1DD" w:themeFill="accent3" w:themeFillTint="33"/>
          </w:tcPr>
          <w:p w14:paraId="5B897606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5" w:type="pct"/>
            <w:shd w:val="clear" w:color="auto" w:fill="EAF1DD" w:themeFill="accent3" w:themeFillTint="33"/>
          </w:tcPr>
          <w:p w14:paraId="4381AE94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4" w:type="pct"/>
            <w:gridSpan w:val="2"/>
            <w:shd w:val="clear" w:color="auto" w:fill="EAF1DD" w:themeFill="accent3" w:themeFillTint="33"/>
          </w:tcPr>
          <w:p w14:paraId="61133AE8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4ED12C57" w14:textId="77777777" w:rsidTr="009E61EF">
        <w:trPr>
          <w:trHeight w:val="1134"/>
        </w:trPr>
        <w:tc>
          <w:tcPr>
            <w:tcW w:w="352" w:type="pct"/>
            <w:vMerge/>
            <w:shd w:val="clear" w:color="auto" w:fill="C2D69B" w:themeFill="accent3" w:themeFillTint="99"/>
          </w:tcPr>
          <w:p w14:paraId="3E297682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14:paraId="57B44054" w14:textId="77777777" w:rsidR="006E0B11" w:rsidRDefault="006E0B11" w:rsidP="002006C7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3914ADF5" w14:textId="71566D78" w:rsidR="006E0B11" w:rsidRDefault="009E61EF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9</w:t>
            </w:r>
          </w:p>
        </w:tc>
        <w:tc>
          <w:tcPr>
            <w:tcW w:w="344" w:type="pct"/>
            <w:shd w:val="clear" w:color="auto" w:fill="EAF1DD" w:themeFill="accent3" w:themeFillTint="33"/>
          </w:tcPr>
          <w:p w14:paraId="696268DE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EAF1DD" w:themeFill="accent3" w:themeFillTint="33"/>
          </w:tcPr>
          <w:p w14:paraId="7F5DF6D1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EAF1DD" w:themeFill="accent3" w:themeFillTint="33"/>
          </w:tcPr>
          <w:p w14:paraId="52D2BEE3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  <w:bookmarkStart w:id="0" w:name="_GoBack"/>
            <w:bookmarkEnd w:id="0"/>
          </w:p>
        </w:tc>
        <w:tc>
          <w:tcPr>
            <w:tcW w:w="1035" w:type="pct"/>
            <w:shd w:val="clear" w:color="auto" w:fill="EAF1DD" w:themeFill="accent3" w:themeFillTint="33"/>
          </w:tcPr>
          <w:p w14:paraId="79F1FA2E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4" w:type="pct"/>
            <w:gridSpan w:val="2"/>
            <w:shd w:val="clear" w:color="auto" w:fill="EAF1DD" w:themeFill="accent3" w:themeFillTint="33"/>
          </w:tcPr>
          <w:p w14:paraId="5317B03E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026BED97" w14:textId="77777777" w:rsidTr="009E61EF">
        <w:trPr>
          <w:trHeight w:val="1134"/>
        </w:trPr>
        <w:tc>
          <w:tcPr>
            <w:tcW w:w="352" w:type="pct"/>
            <w:vMerge/>
            <w:shd w:val="clear" w:color="auto" w:fill="C2D69B" w:themeFill="accent3" w:themeFillTint="99"/>
          </w:tcPr>
          <w:p w14:paraId="499EDC13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14:paraId="6E6D8FE7" w14:textId="77777777" w:rsidR="006E0B11" w:rsidRDefault="006E0B11" w:rsidP="002006C7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7C368A4C" w14:textId="2B9BD819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</w:t>
            </w:r>
            <w:r w:rsidR="009E61EF">
              <w:rPr>
                <w:rFonts w:ascii="OpenDyslexic" w:hAnsi="OpenDyslexic"/>
              </w:rPr>
              <w:t>0</w:t>
            </w:r>
          </w:p>
        </w:tc>
        <w:tc>
          <w:tcPr>
            <w:tcW w:w="344" w:type="pct"/>
            <w:shd w:val="clear" w:color="auto" w:fill="EAF1DD" w:themeFill="accent3" w:themeFillTint="33"/>
          </w:tcPr>
          <w:p w14:paraId="53648FB4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EAF1DD" w:themeFill="accent3" w:themeFillTint="33"/>
          </w:tcPr>
          <w:p w14:paraId="53E9BD3D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EAF1DD" w:themeFill="accent3" w:themeFillTint="33"/>
          </w:tcPr>
          <w:p w14:paraId="490DA6A0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5" w:type="pct"/>
            <w:shd w:val="clear" w:color="auto" w:fill="EAF1DD" w:themeFill="accent3" w:themeFillTint="33"/>
          </w:tcPr>
          <w:p w14:paraId="2BBE1D52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4" w:type="pct"/>
            <w:gridSpan w:val="2"/>
            <w:shd w:val="clear" w:color="auto" w:fill="EAF1DD" w:themeFill="accent3" w:themeFillTint="33"/>
          </w:tcPr>
          <w:p w14:paraId="37779A6C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FF3038" w14:paraId="250DB3CA" w14:textId="77777777" w:rsidTr="009E61EF">
        <w:trPr>
          <w:trHeight w:val="1134"/>
        </w:trPr>
        <w:tc>
          <w:tcPr>
            <w:tcW w:w="352" w:type="pct"/>
            <w:vMerge/>
            <w:shd w:val="clear" w:color="auto" w:fill="C2D69B" w:themeFill="accent3" w:themeFillTint="99"/>
          </w:tcPr>
          <w:p w14:paraId="018670DB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14:paraId="1DA4417A" w14:textId="77777777" w:rsidR="006E0B11" w:rsidRDefault="006E0B11" w:rsidP="002006C7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314" w:type="pct"/>
            <w:shd w:val="clear" w:color="auto" w:fill="EAF1DD" w:themeFill="accent3" w:themeFillTint="33"/>
            <w:vAlign w:val="center"/>
          </w:tcPr>
          <w:p w14:paraId="4170AD78" w14:textId="59572E05" w:rsidR="006E0B11" w:rsidRDefault="006E0B11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</w:t>
            </w:r>
            <w:r w:rsidR="009E61EF">
              <w:rPr>
                <w:rFonts w:ascii="OpenDyslexic" w:hAnsi="OpenDyslexic"/>
              </w:rPr>
              <w:t>1</w:t>
            </w:r>
          </w:p>
        </w:tc>
        <w:tc>
          <w:tcPr>
            <w:tcW w:w="344" w:type="pct"/>
            <w:shd w:val="clear" w:color="auto" w:fill="EAF1DD" w:themeFill="accent3" w:themeFillTint="33"/>
          </w:tcPr>
          <w:p w14:paraId="1ABBBE95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EAF1DD" w:themeFill="accent3" w:themeFillTint="33"/>
          </w:tcPr>
          <w:p w14:paraId="2F8B1E2A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EAF1DD" w:themeFill="accent3" w:themeFillTint="33"/>
          </w:tcPr>
          <w:p w14:paraId="07110867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5" w:type="pct"/>
            <w:shd w:val="clear" w:color="auto" w:fill="EAF1DD" w:themeFill="accent3" w:themeFillTint="33"/>
          </w:tcPr>
          <w:p w14:paraId="337C1469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4" w:type="pct"/>
            <w:gridSpan w:val="2"/>
            <w:shd w:val="clear" w:color="auto" w:fill="EAF1DD" w:themeFill="accent3" w:themeFillTint="33"/>
          </w:tcPr>
          <w:p w14:paraId="3A27D471" w14:textId="77777777" w:rsidR="006E0B11" w:rsidRDefault="006E0B11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  <w:tr w:rsidR="009E61EF" w14:paraId="47AE2CBE" w14:textId="77777777" w:rsidTr="00732101">
        <w:trPr>
          <w:trHeight w:val="2278"/>
        </w:trPr>
        <w:tc>
          <w:tcPr>
            <w:tcW w:w="352" w:type="pct"/>
            <w:vMerge/>
            <w:shd w:val="clear" w:color="auto" w:fill="C2D69B" w:themeFill="accent3" w:themeFillTint="99"/>
          </w:tcPr>
          <w:p w14:paraId="19B723D4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645" w:type="pct"/>
            <w:vMerge/>
            <w:shd w:val="clear" w:color="auto" w:fill="D6E3BC" w:themeFill="accent3" w:themeFillTint="66"/>
          </w:tcPr>
          <w:p w14:paraId="21E62E85" w14:textId="77777777" w:rsidR="009E61EF" w:rsidRDefault="009E61EF" w:rsidP="002006C7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314" w:type="pct"/>
            <w:shd w:val="clear" w:color="auto" w:fill="EAF1DD" w:themeFill="accent3" w:themeFillTint="33"/>
          </w:tcPr>
          <w:p w14:paraId="4ED002AC" w14:textId="77777777" w:rsidR="009E61EF" w:rsidRDefault="009E61EF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12</w:t>
            </w:r>
          </w:p>
          <w:p w14:paraId="16936821" w14:textId="48F0894C" w:rsidR="009E61EF" w:rsidRDefault="009E61EF" w:rsidP="000B441D">
            <w:pPr>
              <w:tabs>
                <w:tab w:val="center" w:pos="10632"/>
                <w:tab w:val="right" w:pos="22380"/>
              </w:tabs>
              <w:jc w:val="center"/>
              <w:rPr>
                <w:rFonts w:ascii="OpenDyslexic" w:hAnsi="OpenDyslexic"/>
              </w:rPr>
            </w:pPr>
            <w:r w:rsidRPr="00CB7A36">
              <w:rPr>
                <w:rFonts w:ascii="OpenDyslexic" w:hAnsi="OpenDyslexic"/>
                <w:sz w:val="20"/>
              </w:rPr>
              <w:t>(optional)</w:t>
            </w:r>
          </w:p>
        </w:tc>
        <w:tc>
          <w:tcPr>
            <w:tcW w:w="344" w:type="pct"/>
            <w:shd w:val="clear" w:color="auto" w:fill="EAF1DD" w:themeFill="accent3" w:themeFillTint="33"/>
          </w:tcPr>
          <w:p w14:paraId="300E7C3A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282" w:type="pct"/>
            <w:shd w:val="clear" w:color="auto" w:fill="EAF1DD" w:themeFill="accent3" w:themeFillTint="33"/>
          </w:tcPr>
          <w:p w14:paraId="36C0866D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04" w:type="pct"/>
            <w:shd w:val="clear" w:color="auto" w:fill="EAF1DD" w:themeFill="accent3" w:themeFillTint="33"/>
          </w:tcPr>
          <w:p w14:paraId="12F1D6C5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35" w:type="pct"/>
            <w:shd w:val="clear" w:color="auto" w:fill="EAF1DD" w:themeFill="accent3" w:themeFillTint="33"/>
          </w:tcPr>
          <w:p w14:paraId="62C90EDE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  <w:tc>
          <w:tcPr>
            <w:tcW w:w="1024" w:type="pct"/>
            <w:gridSpan w:val="2"/>
            <w:shd w:val="clear" w:color="auto" w:fill="EAF1DD" w:themeFill="accent3" w:themeFillTint="33"/>
          </w:tcPr>
          <w:p w14:paraId="564C498B" w14:textId="77777777" w:rsidR="009E61EF" w:rsidRDefault="009E61EF" w:rsidP="00EA530E">
            <w:pPr>
              <w:tabs>
                <w:tab w:val="center" w:pos="10632"/>
                <w:tab w:val="right" w:pos="22380"/>
              </w:tabs>
              <w:rPr>
                <w:rFonts w:ascii="OpenDyslexic" w:hAnsi="OpenDyslexic"/>
              </w:rPr>
            </w:pPr>
          </w:p>
        </w:tc>
      </w:tr>
    </w:tbl>
    <w:p w14:paraId="4965391C" w14:textId="0A5E8A93" w:rsidR="00EA530E" w:rsidRPr="00EA530E" w:rsidRDefault="006E02B4" w:rsidP="00EA530E">
      <w:pPr>
        <w:tabs>
          <w:tab w:val="center" w:pos="10632"/>
          <w:tab w:val="right" w:pos="22380"/>
        </w:tabs>
        <w:rPr>
          <w:rFonts w:ascii="OpenDyslexic" w:hAnsi="OpenDyslexic"/>
        </w:rPr>
      </w:pPr>
      <w:r>
        <w:rPr>
          <w:rFonts w:ascii="OpenDyslexic" w:hAnsi="OpenDyslexic"/>
        </w:rPr>
        <w:t>Minimum 9 images, maximum 12</w:t>
      </w:r>
    </w:p>
    <w:sectPr w:rsidR="00EA530E" w:rsidRPr="00EA530E" w:rsidSect="00EA530E">
      <w:headerReference w:type="default" r:id="rId8"/>
      <w:footerReference w:type="default" r:id="rId9"/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D5D7" w14:textId="77777777" w:rsidR="00FF3038" w:rsidRDefault="00FF3038" w:rsidP="007B6B14">
      <w:r>
        <w:separator/>
      </w:r>
    </w:p>
  </w:endnote>
  <w:endnote w:type="continuationSeparator" w:id="0">
    <w:p w14:paraId="79B3C61B" w14:textId="77777777" w:rsidR="00FF3038" w:rsidRDefault="00FF3038" w:rsidP="007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4E2E" w14:textId="2D050DAE" w:rsidR="00FF3038" w:rsidRDefault="00FF3038" w:rsidP="007B6B14">
    <w:pPr>
      <w:tabs>
        <w:tab w:val="center" w:pos="10632"/>
        <w:tab w:val="right" w:pos="22380"/>
      </w:tabs>
      <w:rPr>
        <w:rFonts w:ascii="OpenDyslexic" w:hAnsi="OpenDyslexic"/>
        <w:sz w:val="20"/>
        <w:szCs w:val="20"/>
      </w:rPr>
    </w:pPr>
    <w:r>
      <w:rPr>
        <w:rFonts w:ascii="OpenDyslexic" w:hAnsi="OpenDyslexic"/>
        <w:sz w:val="20"/>
        <w:szCs w:val="20"/>
      </w:rPr>
      <w:t>*Power models to cite:</w:t>
    </w:r>
    <w:r>
      <w:rPr>
        <w:rFonts w:ascii="OpenDyslexic" w:hAnsi="OpenDyslexic"/>
        <w:sz w:val="20"/>
        <w:szCs w:val="20"/>
      </w:rPr>
      <w:tab/>
    </w:r>
  </w:p>
  <w:p w14:paraId="0B861707" w14:textId="72509F69" w:rsidR="00FF3038" w:rsidRDefault="00FF3038" w:rsidP="007B6B14">
    <w:pPr>
      <w:tabs>
        <w:tab w:val="center" w:pos="10632"/>
        <w:tab w:val="right" w:pos="22380"/>
      </w:tabs>
      <w:rPr>
        <w:rFonts w:ascii="OpenDyslexic" w:hAnsi="OpenDyslexic"/>
        <w:sz w:val="20"/>
        <w:szCs w:val="20"/>
      </w:rPr>
    </w:pPr>
    <w:r w:rsidRPr="006E0B11">
      <w:rPr>
        <w:rFonts w:ascii="OpenDyslexic" w:hAnsi="OpenDyslexic"/>
        <w:sz w:val="20"/>
        <w:szCs w:val="20"/>
      </w:rPr>
      <w:t xml:space="preserve">Reinfeld, 1999 ‘Brotherhood of St Laurence 4 Power Model’, </w:t>
    </w:r>
    <w:r w:rsidRPr="006E0B11">
      <w:rPr>
        <w:rFonts w:ascii="OpenDyslexic" w:hAnsi="OpenDyslexic"/>
        <w:i/>
        <w:sz w:val="20"/>
        <w:szCs w:val="20"/>
        <w:u w:val="single"/>
      </w:rPr>
      <w:t xml:space="preserve">Australia Fair: Teaching and learning for a more socially just Australia, </w:t>
    </w:r>
    <w:r w:rsidRPr="006E0B11">
      <w:rPr>
        <w:rFonts w:ascii="OpenDyslexic" w:hAnsi="OpenDyslexic"/>
        <w:sz w:val="20"/>
        <w:szCs w:val="20"/>
      </w:rPr>
      <w:t xml:space="preserve">DETE, Canberra, </w:t>
    </w:r>
    <w:r w:rsidRPr="00FD3631">
      <w:rPr>
        <w:rFonts w:ascii="OpenDyslexic" w:hAnsi="OpenDyslexic"/>
        <w:sz w:val="20"/>
        <w:szCs w:val="20"/>
      </w:rPr>
      <w:t xml:space="preserve">pp. </w:t>
    </w:r>
    <w:r w:rsidR="00FD3631">
      <w:rPr>
        <w:rFonts w:ascii="OpenDyslexic" w:hAnsi="OpenDyslexic"/>
        <w:sz w:val="20"/>
        <w:szCs w:val="20"/>
      </w:rPr>
      <w:t>28-44</w:t>
    </w:r>
    <w:r w:rsidRPr="00FD3631">
      <w:rPr>
        <w:rFonts w:ascii="OpenDyslexic" w:hAnsi="OpenDyslexic"/>
        <w:sz w:val="20"/>
        <w:szCs w:val="20"/>
      </w:rPr>
      <w:t>.</w:t>
    </w:r>
  </w:p>
  <w:p w14:paraId="322E12A1" w14:textId="17800C36" w:rsidR="00FF3038" w:rsidRPr="007B6B14" w:rsidRDefault="00FF3038" w:rsidP="007B6B14">
    <w:pPr>
      <w:tabs>
        <w:tab w:val="center" w:pos="10632"/>
        <w:tab w:val="right" w:pos="22380"/>
      </w:tabs>
      <w:rPr>
        <w:rFonts w:ascii="OpenDyslexic" w:hAnsi="OpenDyslexic"/>
        <w:sz w:val="20"/>
        <w:szCs w:val="20"/>
      </w:rPr>
    </w:pPr>
    <w:r>
      <w:rPr>
        <w:rFonts w:ascii="OpenDyslexic" w:hAnsi="OpenDyslexic"/>
        <w:sz w:val="20"/>
        <w:szCs w:val="20"/>
      </w:rPr>
      <w:t xml:space="preserve">Liu, E 2014 ‘How to understand power’, TED Ed, </w:t>
    </w:r>
    <w:hyperlink r:id="rId1" w:history="1">
      <w:r w:rsidRPr="005A1C5D">
        <w:rPr>
          <w:rStyle w:val="Hyperlink"/>
          <w:rFonts w:ascii="OpenDyslexic" w:hAnsi="OpenDyslexic"/>
          <w:sz w:val="20"/>
          <w:szCs w:val="20"/>
        </w:rPr>
        <w:t>http://ed.ted.com/lessons/how-to-understand-power-eric-liu</w:t>
      </w:r>
    </w:hyperlink>
    <w:r>
      <w:rPr>
        <w:rFonts w:ascii="OpenDyslexic" w:hAnsi="OpenDyslexic"/>
        <w:sz w:val="20"/>
        <w:szCs w:val="20"/>
      </w:rPr>
      <w:t>, accessed February 2015.</w:t>
    </w:r>
    <w:r>
      <w:rPr>
        <w:rFonts w:ascii="OpenDyslexic" w:hAnsi="OpenDyslexic"/>
        <w:sz w:val="20"/>
        <w:szCs w:val="20"/>
      </w:rPr>
      <w:tab/>
    </w:r>
    <w:r w:rsidRPr="00FF3038">
      <w:rPr>
        <w:rFonts w:ascii="OpenDyslexic" w:hAnsi="OpenDyslexic"/>
        <w:szCs w:val="20"/>
      </w:rPr>
      <w:t xml:space="preserve">Page </w:t>
    </w:r>
    <w:r w:rsidRPr="00FF3038">
      <w:rPr>
        <w:rFonts w:ascii="OpenDyslexic" w:hAnsi="OpenDyslexic"/>
        <w:szCs w:val="20"/>
      </w:rPr>
      <w:fldChar w:fldCharType="begin"/>
    </w:r>
    <w:r w:rsidRPr="00FF3038">
      <w:rPr>
        <w:rFonts w:ascii="OpenDyslexic" w:hAnsi="OpenDyslexic"/>
        <w:szCs w:val="20"/>
      </w:rPr>
      <w:instrText xml:space="preserve"> PAGE  \* MERGEFORMAT </w:instrText>
    </w:r>
    <w:r w:rsidRPr="00FF3038">
      <w:rPr>
        <w:rFonts w:ascii="OpenDyslexic" w:hAnsi="OpenDyslexic"/>
        <w:szCs w:val="20"/>
      </w:rPr>
      <w:fldChar w:fldCharType="separate"/>
    </w:r>
    <w:r w:rsidR="00BD45E1">
      <w:rPr>
        <w:rFonts w:ascii="OpenDyslexic" w:hAnsi="OpenDyslexic"/>
        <w:noProof/>
        <w:szCs w:val="20"/>
      </w:rPr>
      <w:t>1</w:t>
    </w:r>
    <w:r w:rsidRPr="00FF3038">
      <w:rPr>
        <w:rFonts w:ascii="OpenDyslexic" w:hAnsi="OpenDyslexic"/>
        <w:szCs w:val="20"/>
      </w:rPr>
      <w:fldChar w:fldCharType="end"/>
    </w:r>
    <w:r w:rsidRPr="00FF3038">
      <w:rPr>
        <w:rFonts w:ascii="OpenDyslexic" w:hAnsi="OpenDyslexic"/>
        <w:szCs w:val="20"/>
      </w:rPr>
      <w:t xml:space="preserve"> of </w:t>
    </w:r>
    <w:r w:rsidRPr="00FF3038">
      <w:rPr>
        <w:rFonts w:ascii="OpenDyslexic" w:hAnsi="OpenDyslexic"/>
        <w:szCs w:val="20"/>
      </w:rPr>
      <w:fldChar w:fldCharType="begin"/>
    </w:r>
    <w:r w:rsidRPr="00FF3038">
      <w:rPr>
        <w:rFonts w:ascii="OpenDyslexic" w:hAnsi="OpenDyslexic"/>
        <w:szCs w:val="20"/>
      </w:rPr>
      <w:instrText xml:space="preserve"> NUMPAGES  \* MERGEFORMAT </w:instrText>
    </w:r>
    <w:r w:rsidRPr="00FF3038">
      <w:rPr>
        <w:rFonts w:ascii="OpenDyslexic" w:hAnsi="OpenDyslexic"/>
        <w:szCs w:val="20"/>
      </w:rPr>
      <w:fldChar w:fldCharType="separate"/>
    </w:r>
    <w:r w:rsidR="00BD45E1">
      <w:rPr>
        <w:rFonts w:ascii="OpenDyslexic" w:hAnsi="OpenDyslexic"/>
        <w:noProof/>
        <w:szCs w:val="20"/>
      </w:rPr>
      <w:t>2</w:t>
    </w:r>
    <w:r w:rsidRPr="00FF3038">
      <w:rPr>
        <w:rFonts w:ascii="OpenDyslexic" w:hAnsi="OpenDyslexic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CBB77" w14:textId="77777777" w:rsidR="00FF3038" w:rsidRDefault="00FF3038" w:rsidP="007B6B14">
      <w:r>
        <w:separator/>
      </w:r>
    </w:p>
  </w:footnote>
  <w:footnote w:type="continuationSeparator" w:id="0">
    <w:p w14:paraId="4F79B352" w14:textId="77777777" w:rsidR="00FF3038" w:rsidRDefault="00FF3038" w:rsidP="007B6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2424" w14:textId="278C6CBA" w:rsidR="00FF3038" w:rsidRPr="006E0B11" w:rsidRDefault="00FF3038" w:rsidP="00FF3038">
    <w:pPr>
      <w:tabs>
        <w:tab w:val="center" w:pos="11199"/>
        <w:tab w:val="right" w:pos="22380"/>
      </w:tabs>
      <w:rPr>
        <w:rFonts w:ascii="OpenDyslexic" w:hAnsi="OpenDyslexic"/>
        <w:b/>
        <w:sz w:val="32"/>
      </w:rPr>
    </w:pPr>
    <w:r w:rsidRPr="006E0B11">
      <w:rPr>
        <w:rFonts w:ascii="OpenDyslexic" w:hAnsi="OpenDyslexic"/>
        <w:b/>
        <w:sz w:val="32"/>
      </w:rPr>
      <w:t>Stage 2 Society and Culture</w:t>
    </w:r>
    <w:r w:rsidRPr="006E0B11">
      <w:rPr>
        <w:rFonts w:ascii="OpenDyslexic" w:hAnsi="OpenDyslexic"/>
        <w:b/>
        <w:sz w:val="32"/>
      </w:rPr>
      <w:tab/>
      <w:t xml:space="preserve">Planning for Folio Task 1 – </w:t>
    </w:r>
    <w:r w:rsidR="00EC1223">
      <w:rPr>
        <w:rFonts w:ascii="OpenDyslexic" w:hAnsi="OpenDyslexic"/>
        <w:b/>
        <w:sz w:val="32"/>
      </w:rPr>
      <w:t>STORYBOARD</w:t>
    </w:r>
    <w:r w:rsidRPr="006E0B11">
      <w:rPr>
        <w:rFonts w:ascii="OpenDyslexic" w:hAnsi="OpenDyslexic"/>
        <w:b/>
        <w:sz w:val="32"/>
      </w:rPr>
      <w:tab/>
      <w:t>Alleviating Poverty (Local)</w:t>
    </w:r>
  </w:p>
  <w:p w14:paraId="7FA3CBFB" w14:textId="77777777" w:rsidR="00FF3038" w:rsidRDefault="00FF3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B441D"/>
    <w:rsid w:val="002006C7"/>
    <w:rsid w:val="00281411"/>
    <w:rsid w:val="003B18D9"/>
    <w:rsid w:val="006E02B4"/>
    <w:rsid w:val="006E0B11"/>
    <w:rsid w:val="00782128"/>
    <w:rsid w:val="007B6B14"/>
    <w:rsid w:val="008A5DD9"/>
    <w:rsid w:val="009E61EF"/>
    <w:rsid w:val="00B357C3"/>
    <w:rsid w:val="00BD45E1"/>
    <w:rsid w:val="00C31928"/>
    <w:rsid w:val="00D000D2"/>
    <w:rsid w:val="00E40B7B"/>
    <w:rsid w:val="00EA530E"/>
    <w:rsid w:val="00EC1223"/>
    <w:rsid w:val="00FD363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E7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06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14"/>
  </w:style>
  <w:style w:type="paragraph" w:styleId="Footer">
    <w:name w:val="footer"/>
    <w:basedOn w:val="Normal"/>
    <w:link w:val="FooterChar"/>
    <w:uiPriority w:val="99"/>
    <w:unhideWhenUsed/>
    <w:rsid w:val="007B6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06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14"/>
  </w:style>
  <w:style w:type="paragraph" w:styleId="Footer">
    <w:name w:val="footer"/>
    <w:basedOn w:val="Normal"/>
    <w:link w:val="FooterChar"/>
    <w:uiPriority w:val="99"/>
    <w:unhideWhenUsed/>
    <w:rsid w:val="007B6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layfordalive.com.a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.ted.com/lessons/how-to-understand-power-eric-l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245</Words>
  <Characters>1403</Characters>
  <Application>Microsoft Macintosh Word</Application>
  <DocSecurity>0</DocSecurity>
  <Lines>11</Lines>
  <Paragraphs>3</Paragraphs>
  <ScaleCrop>false</ScaleCrop>
  <Company>Mark Oliphant College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13</cp:revision>
  <cp:lastPrinted>2015-02-17T06:48:00Z</cp:lastPrinted>
  <dcterms:created xsi:type="dcterms:W3CDTF">2015-02-16T06:16:00Z</dcterms:created>
  <dcterms:modified xsi:type="dcterms:W3CDTF">2015-02-17T22:08:00Z</dcterms:modified>
</cp:coreProperties>
</file>